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6258EF">
        <w:rPr>
          <w:rFonts w:ascii="Arial" w:hAnsi="Arial" w:cs="Arial"/>
          <w:sz w:val="16"/>
          <w:szCs w:val="16"/>
        </w:rPr>
        <w:t>311</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1A216D">
        <w:rPr>
          <w:rFonts w:ascii="Arial" w:hAnsi="Arial" w:cs="Arial"/>
          <w:bCs/>
          <w:sz w:val="16"/>
          <w:szCs w:val="16"/>
        </w:rPr>
        <w:t xml:space="preserve"> </w:t>
      </w:r>
      <w:r w:rsidR="006258EF">
        <w:rPr>
          <w:rFonts w:ascii="Arial" w:hAnsi="Arial" w:cs="Arial"/>
          <w:bCs/>
          <w:sz w:val="16"/>
          <w:szCs w:val="16"/>
        </w:rPr>
        <w:t>316</w:t>
      </w:r>
      <w:r w:rsidR="00BE1E6F" w:rsidRPr="00F01CFE">
        <w:rPr>
          <w:rFonts w:ascii="Arial" w:hAnsi="Arial" w:cs="Arial"/>
          <w:bCs/>
          <w:sz w:val="16"/>
          <w:szCs w:val="16"/>
        </w:rPr>
        <w:t>/201</w:t>
      </w:r>
      <w:r w:rsidR="001541F6">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w:t>
      </w:r>
      <w:r w:rsidR="001541F6">
        <w:rPr>
          <w:rFonts w:ascii="Arial" w:hAnsi="Arial" w:cs="Arial"/>
          <w:bCs/>
          <w:sz w:val="16"/>
          <w:szCs w:val="16"/>
        </w:rPr>
        <w:t>01.1514.000</w:t>
      </w:r>
      <w:r w:rsidR="006258EF">
        <w:rPr>
          <w:rFonts w:ascii="Arial" w:hAnsi="Arial" w:cs="Arial"/>
          <w:bCs/>
          <w:sz w:val="16"/>
          <w:szCs w:val="16"/>
        </w:rPr>
        <w:t>35</w:t>
      </w:r>
      <w:r w:rsidR="001541F6">
        <w:rPr>
          <w:rFonts w:ascii="Arial" w:hAnsi="Arial" w:cs="Arial"/>
          <w:bCs/>
          <w:sz w:val="16"/>
          <w:szCs w:val="16"/>
        </w:rPr>
        <w:t>-00/2016</w:t>
      </w:r>
    </w:p>
    <w:p w:rsidR="009D2314" w:rsidRPr="00F01CFE" w:rsidRDefault="009D2314" w:rsidP="009D2314">
      <w:pPr>
        <w:pStyle w:val="Cabealho"/>
        <w:rPr>
          <w:rFonts w:ascii="Arial" w:hAnsi="Arial" w:cs="Arial"/>
          <w:b/>
          <w:sz w:val="16"/>
          <w:szCs w:val="16"/>
        </w:rPr>
      </w:pPr>
    </w:p>
    <w:p w:rsidR="001E380D" w:rsidRPr="001541F6" w:rsidRDefault="002E300A" w:rsidP="001E380D">
      <w:pPr>
        <w:jc w:val="both"/>
        <w:rPr>
          <w:rFonts w:ascii="Arial" w:hAnsi="Arial" w:cs="Arial"/>
          <w:kern w:val="36"/>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w:t>
      </w:r>
      <w:r w:rsidRPr="001541F6">
        <w:rPr>
          <w:rFonts w:ascii="Arial" w:hAnsi="Arial" w:cs="Arial"/>
          <w:sz w:val="16"/>
          <w:szCs w:val="16"/>
        </w:rPr>
        <w:t xml:space="preserve">representado pelo </w:t>
      </w:r>
      <w:r w:rsidRPr="001541F6">
        <w:rPr>
          <w:rFonts w:ascii="Arial" w:hAnsi="Arial" w:cs="Arial"/>
          <w:b/>
          <w:bCs/>
          <w:sz w:val="16"/>
          <w:szCs w:val="16"/>
        </w:rPr>
        <w:t>Superintendente da SUPEL</w:t>
      </w:r>
      <w:r w:rsidRPr="001541F6">
        <w:rPr>
          <w:rFonts w:ascii="Arial" w:hAnsi="Arial" w:cs="Arial"/>
          <w:sz w:val="16"/>
          <w:szCs w:val="16"/>
        </w:rPr>
        <w:t xml:space="preserve">, </w:t>
      </w:r>
      <w:r w:rsidR="001541F6">
        <w:rPr>
          <w:rFonts w:ascii="Arial" w:hAnsi="Arial" w:cs="Arial"/>
          <w:sz w:val="16"/>
          <w:szCs w:val="16"/>
        </w:rPr>
        <w:t>senhor Márcio Rogério G</w:t>
      </w:r>
      <w:r w:rsidR="001A216D" w:rsidRPr="001541F6">
        <w:rPr>
          <w:rFonts w:ascii="Arial" w:hAnsi="Arial" w:cs="Arial"/>
          <w:sz w:val="16"/>
          <w:szCs w:val="16"/>
        </w:rPr>
        <w:t xml:space="preserve">abriel e a(s) empresa(s) qualificada(s) no anexo único desta ata, resolvem </w:t>
      </w:r>
      <w:r w:rsidR="001A216D" w:rsidRPr="001541F6">
        <w:rPr>
          <w:rFonts w:ascii="Arial" w:hAnsi="Arial" w:cs="Arial"/>
          <w:b/>
          <w:bCs/>
          <w:sz w:val="16"/>
          <w:szCs w:val="16"/>
        </w:rPr>
        <w:t>registrar o preço</w:t>
      </w:r>
      <w:r w:rsidR="001A216D" w:rsidRPr="001541F6">
        <w:rPr>
          <w:rFonts w:ascii="Arial" w:hAnsi="Arial" w:cs="Arial"/>
          <w:bCs/>
          <w:sz w:val="16"/>
          <w:szCs w:val="16"/>
        </w:rPr>
        <w:t xml:space="preserve"> </w:t>
      </w:r>
      <w:r w:rsidR="001A216D" w:rsidRPr="001541F6">
        <w:rPr>
          <w:rFonts w:ascii="Arial" w:hAnsi="Arial" w:cs="Arial"/>
          <w:sz w:val="16"/>
          <w:szCs w:val="16"/>
        </w:rPr>
        <w:t xml:space="preserve">para </w:t>
      </w:r>
      <w:r w:rsidR="001A216D" w:rsidRPr="001541F6">
        <w:rPr>
          <w:rFonts w:ascii="Arial" w:hAnsi="Arial" w:cs="Arial"/>
          <w:kern w:val="36"/>
          <w:sz w:val="16"/>
          <w:szCs w:val="16"/>
        </w:rPr>
        <w:t>futuras e eventuais</w:t>
      </w:r>
      <w:r w:rsidR="006258EF">
        <w:rPr>
          <w:rFonts w:ascii="Arial" w:hAnsi="Arial" w:cs="Arial"/>
          <w:kern w:val="36"/>
          <w:sz w:val="16"/>
          <w:szCs w:val="16"/>
        </w:rPr>
        <w:t xml:space="preserve"> aquisições</w:t>
      </w:r>
      <w:r w:rsidR="001A216D" w:rsidRPr="001541F6">
        <w:rPr>
          <w:rFonts w:ascii="Arial" w:hAnsi="Arial" w:cs="Arial"/>
          <w:kern w:val="36"/>
          <w:sz w:val="16"/>
          <w:szCs w:val="16"/>
        </w:rPr>
        <w:t xml:space="preserve"> </w:t>
      </w:r>
      <w:r w:rsidR="006258EF" w:rsidRPr="006258EF">
        <w:rPr>
          <w:rFonts w:ascii="Arial" w:hAnsi="Arial" w:cs="Arial"/>
          <w:bCs/>
          <w:sz w:val="16"/>
          <w:szCs w:val="16"/>
        </w:rPr>
        <w:t>de materiais para atendimento pré-hospitalar e resgate</w:t>
      </w:r>
      <w:r w:rsidR="001A216D" w:rsidRPr="006258EF">
        <w:rPr>
          <w:rFonts w:ascii="Arial" w:hAnsi="Arial" w:cs="Arial"/>
          <w:bCs/>
          <w:sz w:val="16"/>
          <w:szCs w:val="16"/>
        </w:rPr>
        <w:t>,</w:t>
      </w:r>
      <w:r w:rsidR="001A216D" w:rsidRPr="001541F6">
        <w:rPr>
          <w:rFonts w:ascii="Arial" w:hAnsi="Arial" w:cs="Arial"/>
          <w:bCs/>
          <w:color w:val="000000" w:themeColor="text1"/>
          <w:sz w:val="16"/>
          <w:szCs w:val="16"/>
        </w:rPr>
        <w:t xml:space="preserve"> a pedido do Fundo Especial do Corpo de Bombeiros Militar - FUNESBOM</w:t>
      </w:r>
      <w:r w:rsidR="001E380D" w:rsidRPr="001541F6">
        <w:rPr>
          <w:rFonts w:ascii="Arial" w:hAnsi="Arial" w:cs="Arial"/>
          <w:bCs/>
          <w:sz w:val="16"/>
          <w:szCs w:val="16"/>
        </w:rPr>
        <w:t>,</w:t>
      </w:r>
      <w:r w:rsidR="001E380D" w:rsidRPr="001541F6">
        <w:rPr>
          <w:rFonts w:ascii="Arial" w:hAnsi="Arial" w:cs="Arial"/>
          <w:sz w:val="16"/>
          <w:szCs w:val="16"/>
        </w:rPr>
        <w:t xml:space="preserve"> conforme Anexo Único desta ata, atendendo as condições previstas no</w:t>
      </w:r>
      <w:r w:rsidR="001E380D" w:rsidRPr="001541F6">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1541F6" w:rsidRDefault="001E380D" w:rsidP="001E380D">
      <w:pPr>
        <w:ind w:right="-121"/>
        <w:jc w:val="both"/>
        <w:rPr>
          <w:rFonts w:ascii="Arial" w:hAnsi="Arial" w:cs="Arial"/>
          <w:sz w:val="16"/>
          <w:szCs w:val="16"/>
        </w:rPr>
      </w:pPr>
    </w:p>
    <w:p w:rsidR="009D2314" w:rsidRPr="001541F6" w:rsidRDefault="009D2314" w:rsidP="009D2314">
      <w:pPr>
        <w:jc w:val="both"/>
        <w:rPr>
          <w:rFonts w:ascii="Arial" w:hAnsi="Arial" w:cs="Arial"/>
          <w:sz w:val="16"/>
          <w:szCs w:val="16"/>
        </w:rPr>
      </w:pPr>
      <w:r w:rsidRPr="001541F6">
        <w:rPr>
          <w:rFonts w:ascii="Arial" w:hAnsi="Arial" w:cs="Arial"/>
          <w:b/>
          <w:bCs/>
          <w:sz w:val="16"/>
          <w:szCs w:val="16"/>
        </w:rPr>
        <w:t>1. DO OBJETO</w:t>
      </w:r>
    </w:p>
    <w:p w:rsidR="009D2314" w:rsidRPr="001541F6" w:rsidRDefault="009D2314" w:rsidP="009D2314">
      <w:pPr>
        <w:jc w:val="both"/>
        <w:rPr>
          <w:rFonts w:ascii="Arial" w:hAnsi="Arial" w:cs="Arial"/>
          <w:sz w:val="16"/>
          <w:szCs w:val="16"/>
        </w:rPr>
      </w:pPr>
    </w:p>
    <w:p w:rsidR="00D47B74" w:rsidRPr="001541F6" w:rsidRDefault="002E300A" w:rsidP="008E5F1E">
      <w:pPr>
        <w:jc w:val="both"/>
        <w:rPr>
          <w:rFonts w:ascii="Arial" w:hAnsi="Arial" w:cs="Arial"/>
          <w:sz w:val="16"/>
          <w:szCs w:val="16"/>
        </w:rPr>
      </w:pPr>
      <w:r w:rsidRPr="001541F6">
        <w:rPr>
          <w:rFonts w:ascii="Arial" w:hAnsi="Arial" w:cs="Arial"/>
          <w:b/>
          <w:sz w:val="16"/>
          <w:szCs w:val="16"/>
        </w:rPr>
        <w:t>REGISTRAR O PREÇO</w:t>
      </w:r>
      <w:r w:rsidR="00A80E46" w:rsidRPr="001541F6">
        <w:rPr>
          <w:rFonts w:ascii="Arial" w:hAnsi="Arial" w:cs="Arial"/>
          <w:sz w:val="16"/>
          <w:szCs w:val="16"/>
        </w:rPr>
        <w:t xml:space="preserve"> </w:t>
      </w:r>
      <w:r w:rsidR="006258EF" w:rsidRPr="001541F6">
        <w:rPr>
          <w:rFonts w:ascii="Arial" w:hAnsi="Arial" w:cs="Arial"/>
          <w:sz w:val="16"/>
          <w:szCs w:val="16"/>
        </w:rPr>
        <w:t xml:space="preserve">para </w:t>
      </w:r>
      <w:r w:rsidR="006258EF" w:rsidRPr="001541F6">
        <w:rPr>
          <w:rFonts w:ascii="Arial" w:hAnsi="Arial" w:cs="Arial"/>
          <w:kern w:val="36"/>
          <w:sz w:val="16"/>
          <w:szCs w:val="16"/>
        </w:rPr>
        <w:t>futuras e eventuais</w:t>
      </w:r>
      <w:r w:rsidR="006258EF">
        <w:rPr>
          <w:rFonts w:ascii="Arial" w:hAnsi="Arial" w:cs="Arial"/>
          <w:kern w:val="36"/>
          <w:sz w:val="16"/>
          <w:szCs w:val="16"/>
        </w:rPr>
        <w:t xml:space="preserve"> aquisições</w:t>
      </w:r>
      <w:r w:rsidR="006258EF" w:rsidRPr="001541F6">
        <w:rPr>
          <w:rFonts w:ascii="Arial" w:hAnsi="Arial" w:cs="Arial"/>
          <w:kern w:val="36"/>
          <w:sz w:val="16"/>
          <w:szCs w:val="16"/>
        </w:rPr>
        <w:t xml:space="preserve"> </w:t>
      </w:r>
      <w:r w:rsidR="006258EF" w:rsidRPr="006258EF">
        <w:rPr>
          <w:rFonts w:ascii="Arial" w:hAnsi="Arial" w:cs="Arial"/>
          <w:bCs/>
          <w:sz w:val="16"/>
          <w:szCs w:val="16"/>
        </w:rPr>
        <w:t>de materiais para atendimento pré-hospitalar e resgate,</w:t>
      </w:r>
      <w:r w:rsidR="006258EF" w:rsidRPr="001541F6">
        <w:rPr>
          <w:rFonts w:ascii="Arial" w:hAnsi="Arial" w:cs="Arial"/>
          <w:bCs/>
          <w:color w:val="000000" w:themeColor="text1"/>
          <w:sz w:val="16"/>
          <w:szCs w:val="16"/>
        </w:rPr>
        <w:t xml:space="preserve"> a pedido do Fundo Especial do Corpo de Bombeiros Militar - FUNESBOM</w:t>
      </w:r>
      <w:r w:rsidR="001A216D" w:rsidRPr="001541F6">
        <w:rPr>
          <w:rFonts w:ascii="Arial" w:hAnsi="Arial" w:cs="Arial"/>
          <w:bCs/>
          <w:color w:val="000000" w:themeColor="text1"/>
          <w:sz w:val="16"/>
          <w:szCs w:val="16"/>
        </w:rPr>
        <w:t>.</w:t>
      </w:r>
    </w:p>
    <w:p w:rsidR="0026194E" w:rsidRPr="001541F6" w:rsidRDefault="0026194E" w:rsidP="008E5F1E">
      <w:pPr>
        <w:jc w:val="both"/>
        <w:rPr>
          <w:rFonts w:ascii="Arial" w:hAnsi="Arial" w:cs="Arial"/>
          <w:kern w:val="36"/>
          <w:sz w:val="16"/>
          <w:szCs w:val="16"/>
        </w:rPr>
      </w:pPr>
    </w:p>
    <w:p w:rsidR="009D2314" w:rsidRPr="001541F6" w:rsidRDefault="009D2314" w:rsidP="005C3886">
      <w:pPr>
        <w:jc w:val="both"/>
        <w:rPr>
          <w:rFonts w:ascii="Arial" w:hAnsi="Arial" w:cs="Arial"/>
          <w:b/>
          <w:bCs/>
          <w:sz w:val="16"/>
          <w:szCs w:val="16"/>
        </w:rPr>
      </w:pPr>
      <w:r w:rsidRPr="001541F6">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 xml:space="preserve">4. DA ESPECIFICAÇÃO, QUANTIDADE E </w:t>
      </w:r>
      <w:proofErr w:type="gramStart"/>
      <w:r w:rsidRPr="00F01CFE">
        <w:rPr>
          <w:b/>
          <w:bCs/>
          <w:sz w:val="16"/>
          <w:szCs w:val="16"/>
        </w:rPr>
        <w:t>PREÇO</w:t>
      </w:r>
      <w:proofErr w:type="gramEnd"/>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511633" w:rsidRDefault="009D2314" w:rsidP="00511633">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1A216D" w:rsidRDefault="001A216D" w:rsidP="001A216D">
      <w:pPr>
        <w:pStyle w:val="Corpodetexto3"/>
        <w:tabs>
          <w:tab w:val="left" w:pos="900"/>
        </w:tabs>
        <w:ind w:left="360" w:right="47"/>
        <w:rPr>
          <w:rFonts w:ascii="Arial" w:hAnsi="Arial" w:cs="Arial"/>
          <w:sz w:val="16"/>
          <w:szCs w:val="16"/>
        </w:rPr>
      </w:pPr>
    </w:p>
    <w:p w:rsidR="006258EF" w:rsidRPr="001A216D" w:rsidRDefault="006258EF" w:rsidP="001A216D">
      <w:pPr>
        <w:pStyle w:val="Corpodetexto3"/>
        <w:tabs>
          <w:tab w:val="left" w:pos="900"/>
        </w:tabs>
        <w:ind w:left="360"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6258EF">
            <w:pPr>
              <w:pStyle w:val="PargrafodaLista"/>
              <w:numPr>
                <w:ilvl w:val="1"/>
                <w:numId w:val="2"/>
              </w:numPr>
              <w:tabs>
                <w:tab w:val="clear" w:pos="360"/>
                <w:tab w:val="num" w:pos="0"/>
                <w:tab w:val="left" w:pos="426"/>
              </w:tabs>
              <w:ind w:left="0" w:firstLine="0"/>
              <w:jc w:val="both"/>
              <w:rPr>
                <w:rFonts w:ascii="Arial" w:hAnsi="Arial" w:cs="Arial"/>
                <w:color w:val="000000" w:themeColor="text1"/>
                <w:sz w:val="16"/>
                <w:szCs w:val="16"/>
              </w:rPr>
            </w:pPr>
            <w:r w:rsidRPr="001A216D">
              <w:rPr>
                <w:rFonts w:ascii="Arial" w:hAnsi="Arial" w:cs="Arial"/>
                <w:b/>
                <w:color w:val="000000" w:themeColor="text1"/>
                <w:sz w:val="16"/>
                <w:szCs w:val="16"/>
              </w:rPr>
              <w:t>PRAZO DE ENTREG</w:t>
            </w:r>
            <w:r w:rsidRPr="006258EF">
              <w:rPr>
                <w:rFonts w:ascii="Arial" w:hAnsi="Arial" w:cs="Arial"/>
                <w:b/>
                <w:color w:val="000000" w:themeColor="text1"/>
                <w:sz w:val="16"/>
                <w:szCs w:val="16"/>
              </w:rPr>
              <w:t>A:</w:t>
            </w:r>
            <w:r w:rsidR="001A216D" w:rsidRPr="006258EF">
              <w:rPr>
                <w:rFonts w:ascii="Arial" w:hAnsi="Arial" w:cs="Arial"/>
                <w:color w:val="000000" w:themeColor="text1"/>
                <w:sz w:val="16"/>
                <w:szCs w:val="16"/>
              </w:rPr>
              <w:t xml:space="preserve"> </w:t>
            </w:r>
            <w:r w:rsidR="006258EF" w:rsidRPr="006258EF">
              <w:rPr>
                <w:rFonts w:ascii="Arial" w:hAnsi="Arial" w:cs="Arial"/>
                <w:sz w:val="16"/>
                <w:szCs w:val="16"/>
              </w:rPr>
              <w:t>A entrega do objeto será realizada de acordo com as necessidades do Corpo de Bombeiros Militar do Estado de Rondônia, no prazo de 30 (trinta) dias contados a partir do recebimento da nota de empenho.</w:t>
            </w:r>
          </w:p>
        </w:tc>
      </w:tr>
    </w:tbl>
    <w:p w:rsidR="006258EF" w:rsidRPr="001A216D" w:rsidRDefault="006258EF" w:rsidP="00511633">
      <w:pPr>
        <w:pStyle w:val="PargrafodaLista"/>
        <w:ind w:left="360"/>
        <w:rPr>
          <w:rFonts w:ascii="Arial" w:hAnsi="Arial" w:cs="Arial"/>
          <w:color w:val="000000" w:themeColor="text1"/>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1A216D" w:rsidTr="008400BA">
        <w:tc>
          <w:tcPr>
            <w:tcW w:w="5000" w:type="pct"/>
            <w:tcBorders>
              <w:top w:val="nil"/>
              <w:left w:val="nil"/>
              <w:bottom w:val="nil"/>
              <w:right w:val="nil"/>
            </w:tcBorders>
          </w:tcPr>
          <w:p w:rsidR="00511633" w:rsidRPr="001A216D" w:rsidRDefault="00511633" w:rsidP="006258EF">
            <w:pPr>
              <w:pStyle w:val="PargrafodaLista"/>
              <w:numPr>
                <w:ilvl w:val="1"/>
                <w:numId w:val="2"/>
              </w:numPr>
              <w:tabs>
                <w:tab w:val="clear" w:pos="360"/>
                <w:tab w:val="num" w:pos="0"/>
                <w:tab w:val="left" w:pos="426"/>
              </w:tabs>
              <w:ind w:left="0" w:firstLine="0"/>
              <w:jc w:val="both"/>
              <w:rPr>
                <w:rFonts w:ascii="Arial" w:hAnsi="Arial" w:cs="Arial"/>
                <w:color w:val="000000" w:themeColor="text1"/>
                <w:sz w:val="16"/>
                <w:szCs w:val="16"/>
              </w:rPr>
            </w:pPr>
            <w:r w:rsidRPr="001A216D">
              <w:rPr>
                <w:rFonts w:ascii="Arial" w:hAnsi="Arial" w:cs="Arial"/>
                <w:b/>
                <w:color w:val="000000" w:themeColor="text1"/>
                <w:sz w:val="16"/>
                <w:szCs w:val="16"/>
              </w:rPr>
              <w:t>LOCAL DE ENTREGA</w:t>
            </w:r>
            <w:r w:rsidRPr="006258EF">
              <w:rPr>
                <w:rFonts w:ascii="Arial" w:hAnsi="Arial" w:cs="Arial"/>
                <w:b/>
                <w:color w:val="000000" w:themeColor="text1"/>
                <w:sz w:val="16"/>
                <w:szCs w:val="16"/>
              </w:rPr>
              <w:t>:</w:t>
            </w:r>
            <w:r w:rsidRPr="006258EF">
              <w:rPr>
                <w:rFonts w:ascii="Arial" w:hAnsi="Arial" w:cs="Arial"/>
                <w:color w:val="000000" w:themeColor="text1"/>
                <w:sz w:val="16"/>
                <w:szCs w:val="16"/>
              </w:rPr>
              <w:t xml:space="preserve"> </w:t>
            </w:r>
            <w:r w:rsidR="006258EF" w:rsidRPr="006258EF">
              <w:rPr>
                <w:rFonts w:ascii="Arial" w:hAnsi="Arial" w:cs="Arial"/>
                <w:color w:val="000000"/>
                <w:sz w:val="16"/>
                <w:szCs w:val="16"/>
              </w:rPr>
              <w:t>O material deverá ser entregue na Coordenadoria Geral de Patrimônio – CGP/SUGESPE, sito a Rua Antônio Lacerda, 4138 – Bairro Industrial - Porto Velho - RO, dentro do horário de expediente, das 07h30min às 13h30min de segunda a sexta-feira, nos dias úteis.</w:t>
            </w:r>
          </w:p>
        </w:tc>
      </w:tr>
    </w:tbl>
    <w:p w:rsidR="00FB50C3" w:rsidRPr="00FB50C3" w:rsidRDefault="00FB50C3" w:rsidP="00DD7DE6">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A52760" w:rsidRPr="006258EF" w:rsidRDefault="00A52760" w:rsidP="00A52760">
      <w:pPr>
        <w:pStyle w:val="Lista2"/>
        <w:ind w:left="0" w:firstLine="0"/>
        <w:rPr>
          <w:bCs/>
          <w:sz w:val="16"/>
          <w:szCs w:val="16"/>
        </w:rPr>
      </w:pPr>
      <w:r w:rsidRPr="006258EF">
        <w:rPr>
          <w:bCs/>
          <w:sz w:val="16"/>
          <w:szCs w:val="16"/>
        </w:rPr>
        <w:t xml:space="preserve"> </w:t>
      </w: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9.1 - De conformidade com o estabelecido nos artigos 86 e 87 da Lei Federal 8.666/93 de 21 de junho de </w:t>
      </w:r>
      <w:smartTag w:uri="urn:schemas-microsoft-com:office:smarttags" w:element="metricconverter">
        <w:smartTagPr>
          <w:attr w:name="ProductID" w:val="1993, a"/>
        </w:smartTagPr>
        <w:r w:rsidRPr="006258EF">
          <w:rPr>
            <w:rFonts w:ascii="Arial" w:hAnsi="Arial" w:cs="Arial"/>
            <w:sz w:val="16"/>
            <w:szCs w:val="16"/>
          </w:rPr>
          <w:t>1993, a</w:t>
        </w:r>
      </w:smartTag>
      <w:r w:rsidRPr="006258EF">
        <w:rPr>
          <w:rFonts w:ascii="Arial" w:hAnsi="Arial" w:cs="Arial"/>
          <w:sz w:val="16"/>
          <w:szCs w:val="16"/>
        </w:rPr>
        <w:t xml:space="preserve"> licitante adjudicada que descumprir as condições previstas neste Edital de Licitação poderá a Administração, garantido a prévia defesa, aplicar as seguintes penalidades: </w:t>
      </w:r>
    </w:p>
    <w:p w:rsidR="006258EF" w:rsidRPr="006258EF" w:rsidRDefault="006258EF" w:rsidP="006258EF">
      <w:pPr>
        <w:pStyle w:val="SemEspaamento"/>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9.1.1 – Multa equivalente a 10% (dez por cento) do valor da parcela inadimplida, para o caso de ocorrer desistência da mesma, bem como recusa injustificada ou desinteresse na assinatura do contrato. </w:t>
      </w:r>
    </w:p>
    <w:p w:rsidR="006258EF" w:rsidRPr="006258EF" w:rsidRDefault="006258EF" w:rsidP="006258EF">
      <w:pPr>
        <w:pStyle w:val="SemEspaamento"/>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9.1.2 – No caso de atraso ou negligência na prestação dos serviços, será aplicada multa diária de 0,5% (zero vírgula cinco por cento) calculado sobre o valor da parcela inadimplida, até o 30º (trigésimo) dia. </w:t>
      </w:r>
    </w:p>
    <w:p w:rsidR="006258EF" w:rsidRPr="006258EF" w:rsidRDefault="006258EF" w:rsidP="006258EF">
      <w:pPr>
        <w:pStyle w:val="SemEspaamento"/>
        <w:jc w:val="both"/>
        <w:rPr>
          <w:rFonts w:ascii="Arial" w:hAnsi="Arial" w:cs="Arial"/>
          <w:sz w:val="16"/>
          <w:szCs w:val="16"/>
        </w:rPr>
      </w:pPr>
    </w:p>
    <w:p w:rsidR="006258EF" w:rsidRP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9.1.3 – Multa de 1% ao dia sobre o valor da parcela inadimplida no caso de atraso ou paralisação superior a 10 (dez) dias dos serviços. </w:t>
      </w:r>
    </w:p>
    <w:p w:rsidR="006258EF" w:rsidRPr="006258EF" w:rsidRDefault="006258EF" w:rsidP="006258EF">
      <w:pPr>
        <w:pStyle w:val="SemEspaamento"/>
        <w:ind w:left="993"/>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9.2 – Em caso de inexecução parcial ou total do contrato, a Administração </w:t>
      </w:r>
      <w:proofErr w:type="gramStart"/>
      <w:r w:rsidRPr="006258EF">
        <w:rPr>
          <w:rFonts w:ascii="Arial" w:hAnsi="Arial" w:cs="Arial"/>
          <w:sz w:val="16"/>
          <w:szCs w:val="16"/>
        </w:rPr>
        <w:t>poderá,</w:t>
      </w:r>
      <w:proofErr w:type="gramEnd"/>
      <w:r w:rsidRPr="006258EF">
        <w:rPr>
          <w:rFonts w:ascii="Arial" w:hAnsi="Arial" w:cs="Arial"/>
          <w:sz w:val="16"/>
          <w:szCs w:val="16"/>
        </w:rPr>
        <w:t xml:space="preserve"> garantida a prévia defesa, aplicar as seguintes sanções: </w:t>
      </w:r>
    </w:p>
    <w:p w:rsidR="006258EF" w:rsidRPr="006258EF" w:rsidRDefault="006258EF" w:rsidP="006258EF">
      <w:pPr>
        <w:pStyle w:val="SemEspaamento"/>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9.2.1 – Advertência Escrita; </w:t>
      </w:r>
    </w:p>
    <w:p w:rsidR="006258EF" w:rsidRPr="006258EF" w:rsidRDefault="006258EF" w:rsidP="006258EF">
      <w:pPr>
        <w:pStyle w:val="SemEspaamento"/>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9.2.2 – Multa de 10% (dez por cento) do valor da parcela inadimplida;</w:t>
      </w:r>
    </w:p>
    <w:p w:rsidR="006258EF" w:rsidRPr="006258EF" w:rsidRDefault="006258EF" w:rsidP="006258EF">
      <w:pPr>
        <w:pStyle w:val="SemEspaamento"/>
        <w:jc w:val="both"/>
        <w:rPr>
          <w:rFonts w:ascii="Arial" w:hAnsi="Arial" w:cs="Arial"/>
          <w:sz w:val="16"/>
          <w:szCs w:val="16"/>
        </w:rPr>
      </w:pPr>
    </w:p>
    <w:p w:rsid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9.2.3 – Suspensão temporária do direito de licitar e impedimento de contratar com a Administração Pública pelo prazo de até 02 (dois) anos; </w:t>
      </w:r>
    </w:p>
    <w:p w:rsidR="006258EF" w:rsidRPr="006258EF" w:rsidRDefault="006258EF" w:rsidP="006258EF">
      <w:pPr>
        <w:pStyle w:val="SemEspaamento"/>
        <w:jc w:val="both"/>
        <w:rPr>
          <w:rFonts w:ascii="Arial" w:hAnsi="Arial" w:cs="Arial"/>
          <w:sz w:val="16"/>
          <w:szCs w:val="16"/>
        </w:rPr>
      </w:pPr>
    </w:p>
    <w:p w:rsidR="006258EF" w:rsidRP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9.2.4 – Declaração de inidoneidade para licitar ou contratar com a Administração Pública, enquanto perdurarem os motivos determinantes da punição ou até que seja promovida a reabilitação, perante a própria autoridade que aplicou a penalidade; </w:t>
      </w:r>
    </w:p>
    <w:p w:rsidR="006258EF" w:rsidRPr="006258EF" w:rsidRDefault="006258EF" w:rsidP="006258EF">
      <w:pPr>
        <w:pStyle w:val="SemEspaamento"/>
        <w:ind w:left="993"/>
        <w:jc w:val="both"/>
        <w:rPr>
          <w:rFonts w:ascii="Arial" w:hAnsi="Arial" w:cs="Arial"/>
          <w:sz w:val="16"/>
          <w:szCs w:val="16"/>
        </w:rPr>
      </w:pPr>
    </w:p>
    <w:p w:rsidR="006258EF" w:rsidRPr="006258EF" w:rsidRDefault="006258EF" w:rsidP="006258EF">
      <w:pPr>
        <w:pStyle w:val="SemEspaamento"/>
        <w:jc w:val="both"/>
        <w:rPr>
          <w:rFonts w:ascii="Arial" w:hAnsi="Arial" w:cs="Arial"/>
          <w:sz w:val="16"/>
          <w:szCs w:val="16"/>
        </w:rPr>
      </w:pPr>
      <w:r w:rsidRPr="006258EF">
        <w:rPr>
          <w:rFonts w:ascii="Arial" w:hAnsi="Arial" w:cs="Arial"/>
          <w:sz w:val="16"/>
          <w:szCs w:val="16"/>
        </w:rPr>
        <w:t xml:space="preserve">9.3 – Os valores das multas serão descontados de qualquer fatura ou crédito existente na Secretaria de Estado da Segurança, Defesa e Cidadania, não se efetuando qualquer pagamento de fatura, enquanto referida multa não houver sido paga ou relevada </w:t>
      </w:r>
      <w:proofErr w:type="gramStart"/>
      <w:r w:rsidRPr="006258EF">
        <w:rPr>
          <w:rFonts w:ascii="Arial" w:hAnsi="Arial" w:cs="Arial"/>
          <w:sz w:val="16"/>
          <w:szCs w:val="16"/>
        </w:rPr>
        <w:t>a</w:t>
      </w:r>
      <w:proofErr w:type="gramEnd"/>
      <w:r w:rsidRPr="006258EF">
        <w:rPr>
          <w:rFonts w:ascii="Arial" w:hAnsi="Arial" w:cs="Arial"/>
          <w:sz w:val="16"/>
          <w:szCs w:val="16"/>
        </w:rPr>
        <w:t xml:space="preserve"> penalidade aplicada ou ainda, cobradas judicialmente; </w:t>
      </w:r>
    </w:p>
    <w:p w:rsidR="006258EF" w:rsidRPr="006258EF" w:rsidRDefault="006258EF" w:rsidP="006258EF">
      <w:pPr>
        <w:pStyle w:val="SemEspaamento"/>
        <w:spacing w:before="240"/>
        <w:jc w:val="both"/>
        <w:rPr>
          <w:rFonts w:ascii="Arial" w:hAnsi="Arial" w:cs="Arial"/>
          <w:sz w:val="16"/>
          <w:szCs w:val="16"/>
        </w:rPr>
      </w:pPr>
      <w:r w:rsidRPr="006258EF">
        <w:rPr>
          <w:rFonts w:ascii="Arial" w:hAnsi="Arial" w:cs="Arial"/>
          <w:sz w:val="16"/>
          <w:szCs w:val="16"/>
        </w:rPr>
        <w:t xml:space="preserve">9.4 – Não serão aplicadas as multas decorrentes de “casos fortuitos” ou “força </w:t>
      </w:r>
      <w:proofErr w:type="gramStart"/>
      <w:r w:rsidRPr="006258EF">
        <w:rPr>
          <w:rFonts w:ascii="Arial" w:hAnsi="Arial" w:cs="Arial"/>
          <w:sz w:val="16"/>
          <w:szCs w:val="16"/>
        </w:rPr>
        <w:t>maior”, devidamente comprovados</w:t>
      </w:r>
      <w:proofErr w:type="gramEnd"/>
      <w:r w:rsidRPr="006258EF">
        <w:rPr>
          <w:rFonts w:ascii="Arial" w:hAnsi="Arial" w:cs="Arial"/>
          <w:sz w:val="16"/>
          <w:szCs w:val="16"/>
        </w:rPr>
        <w:t>.</w:t>
      </w:r>
    </w:p>
    <w:p w:rsidR="0030378A"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 xml:space="preserve">É facultada aos órgãos s ou entidades municipais, distritais ou estaduais a adesão </w:t>
      </w:r>
      <w:proofErr w:type="gramStart"/>
      <w:r w:rsidR="00334F76" w:rsidRPr="00F01CFE">
        <w:rPr>
          <w:rFonts w:ascii="Arial" w:hAnsi="Arial" w:cs="Arial"/>
          <w:color w:val="000000"/>
          <w:sz w:val="16"/>
          <w:szCs w:val="16"/>
        </w:rPr>
        <w:t>a</w:t>
      </w:r>
      <w:proofErr w:type="gramEnd"/>
      <w:r w:rsidR="00334F76" w:rsidRPr="00F01CFE">
        <w:rPr>
          <w:rFonts w:ascii="Arial" w:hAnsi="Arial" w:cs="Arial"/>
          <w:color w:val="000000"/>
          <w:sz w:val="16"/>
          <w:szCs w:val="16"/>
        </w:rPr>
        <w:t xml:space="preserve">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F01CFE">
        <w:rPr>
          <w:rFonts w:ascii="Arial" w:hAnsi="Arial" w:cs="Arial"/>
          <w:sz w:val="16"/>
          <w:szCs w:val="16"/>
        </w:rPr>
        <w:t>93</w:t>
      </w:r>
      <w:proofErr w:type="gramEnd"/>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lastRenderedPageBreak/>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 xml:space="preserve">.6 Não haverá, </w:t>
      </w:r>
      <w:proofErr w:type="gramStart"/>
      <w:r w:rsidRPr="00F01CFE">
        <w:rPr>
          <w:rFonts w:ascii="Arial" w:hAnsi="Arial" w:cs="Arial"/>
          <w:sz w:val="16"/>
          <w:szCs w:val="16"/>
        </w:rPr>
        <w:t>sob hipótese</w:t>
      </w:r>
      <w:proofErr w:type="gramEnd"/>
      <w:r w:rsidRPr="00F01CFE">
        <w:rPr>
          <w:rFonts w:ascii="Arial" w:hAnsi="Arial" w:cs="Arial"/>
          <w:sz w:val="16"/>
          <w:szCs w:val="16"/>
        </w:rPr>
        <w:t xml:space="preserv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F01CFE" w:rsidRDefault="001A216D" w:rsidP="00087072">
      <w:pPr>
        <w:rPr>
          <w:rFonts w:ascii="Arial" w:hAnsi="Arial" w:cs="Arial"/>
          <w:b/>
          <w:sz w:val="16"/>
          <w:szCs w:val="16"/>
        </w:rPr>
      </w:pPr>
      <w:r>
        <w:rPr>
          <w:rFonts w:ascii="Arial" w:hAnsi="Arial" w:cs="Arial"/>
          <w:b/>
          <w:sz w:val="16"/>
          <w:szCs w:val="16"/>
        </w:rPr>
        <w:t>FUNESBOM</w:t>
      </w:r>
      <w:r w:rsidR="00EA7C97" w:rsidRPr="00F01CFE">
        <w:rPr>
          <w:rFonts w:ascii="Arial" w:hAnsi="Arial" w:cs="Arial"/>
          <w:b/>
          <w:sz w:val="16"/>
          <w:szCs w:val="16"/>
        </w:rPr>
        <w:t xml:space="preserve"> – </w:t>
      </w:r>
      <w:r w:rsidR="00A24CB5" w:rsidRPr="00F01CFE">
        <w:rPr>
          <w:rFonts w:ascii="Arial" w:hAnsi="Arial" w:cs="Arial"/>
          <w:color w:val="000000" w:themeColor="text1"/>
          <w:sz w:val="16"/>
          <w:szCs w:val="16"/>
        </w:rPr>
        <w:t xml:space="preserve">Fundo </w:t>
      </w:r>
      <w:r>
        <w:rPr>
          <w:rFonts w:ascii="Arial" w:hAnsi="Arial" w:cs="Arial"/>
          <w:color w:val="000000" w:themeColor="text1"/>
          <w:sz w:val="16"/>
          <w:szCs w:val="16"/>
        </w:rPr>
        <w:t>Especial do Corpo de Bombeiros Militar</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8400BA" w:rsidRPr="006258EF" w:rsidRDefault="001541F6" w:rsidP="00526790">
      <w:pPr>
        <w:ind w:right="47"/>
        <w:jc w:val="both"/>
        <w:rPr>
          <w:rFonts w:ascii="Arial" w:hAnsi="Arial" w:cs="Arial"/>
          <w:bCs/>
          <w:color w:val="000000"/>
          <w:sz w:val="10"/>
          <w:szCs w:val="10"/>
        </w:rPr>
      </w:pPr>
      <w:r>
        <w:rPr>
          <w:rFonts w:ascii="Arial" w:hAnsi="Arial" w:cs="Arial"/>
          <w:bCs/>
          <w:color w:val="000000"/>
          <w:sz w:val="10"/>
          <w:szCs w:val="10"/>
        </w:rPr>
        <w:t>AE</w:t>
      </w:r>
      <w:r w:rsidR="001A216D" w:rsidRPr="00262E84">
        <w:rPr>
          <w:rFonts w:ascii="Arial" w:hAnsi="Arial" w:cs="Arial"/>
          <w:bCs/>
          <w:color w:val="000000"/>
          <w:sz w:val="10"/>
          <w:szCs w:val="10"/>
        </w:rPr>
        <w:t>/S</w:t>
      </w:r>
      <w:r w:rsidR="006258EF">
        <w:rPr>
          <w:rFonts w:ascii="Arial" w:hAnsi="Arial" w:cs="Arial"/>
          <w:bCs/>
          <w:color w:val="000000"/>
          <w:sz w:val="10"/>
          <w:szCs w:val="10"/>
        </w:rPr>
        <w:t>RP</w:t>
      </w:r>
    </w:p>
    <w:sectPr w:rsidR="008400BA" w:rsidRPr="006258EF" w:rsidSect="006258EF">
      <w:headerReference w:type="default" r:id="rId8"/>
      <w:pgSz w:w="11907" w:h="16840" w:code="9"/>
      <w:pgMar w:top="284"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DE6" w:rsidRDefault="00DD7DE6">
      <w:r>
        <w:separator/>
      </w:r>
    </w:p>
  </w:endnote>
  <w:endnote w:type="continuationSeparator" w:id="0">
    <w:p w:rsidR="00DD7DE6" w:rsidRDefault="00DD7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DE6" w:rsidRDefault="00DD7DE6">
      <w:r>
        <w:separator/>
      </w:r>
    </w:p>
  </w:footnote>
  <w:footnote w:type="continuationSeparator" w:id="0">
    <w:p w:rsidR="00DD7DE6" w:rsidRDefault="00DD7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DE6" w:rsidRDefault="00DD7DE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2">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6">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7">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1">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3"/>
  </w:num>
  <w:num w:numId="2">
    <w:abstractNumId w:val="12"/>
  </w:num>
  <w:num w:numId="3">
    <w:abstractNumId w:val="4"/>
  </w:num>
  <w:num w:numId="4">
    <w:abstractNumId w:val="3"/>
  </w:num>
  <w:num w:numId="5">
    <w:abstractNumId w:val="9"/>
  </w:num>
  <w:num w:numId="6">
    <w:abstractNumId w:val="5"/>
  </w:num>
  <w:num w:numId="7">
    <w:abstractNumId w:val="19"/>
  </w:num>
  <w:num w:numId="8">
    <w:abstractNumId w:val="1"/>
  </w:num>
  <w:num w:numId="9">
    <w:abstractNumId w:val="20"/>
  </w:num>
  <w:num w:numId="10">
    <w:abstractNumId w:val="2"/>
  </w:num>
  <w:num w:numId="11">
    <w:abstractNumId w:val="17"/>
  </w:num>
  <w:num w:numId="12">
    <w:abstractNumId w:val="11"/>
  </w:num>
  <w:num w:numId="13">
    <w:abstractNumId w:val="16"/>
  </w:num>
  <w:num w:numId="14">
    <w:abstractNumId w:val="10"/>
  </w:num>
  <w:num w:numId="15">
    <w:abstractNumId w:val="14"/>
  </w:num>
  <w:num w:numId="16">
    <w:abstractNumId w:val="6"/>
  </w:num>
  <w:num w:numId="17">
    <w:abstractNumId w:val="7"/>
  </w:num>
  <w:num w:numId="18">
    <w:abstractNumId w:val="8"/>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1F6"/>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58EF"/>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4DC"/>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0B4"/>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aliases w:val="SheParágrafo da Lista"/>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character" w:customStyle="1" w:styleId="PargrafodaListaChar">
    <w:name w:val="Parágrafo da Lista Char"/>
    <w:aliases w:val="SheParágrafo da Lista Char"/>
    <w:link w:val="PargrafodaLista"/>
    <w:uiPriority w:val="34"/>
    <w:locked/>
    <w:rsid w:val="001541F6"/>
    <w:rPr>
      <w:sz w:val="24"/>
      <w:szCs w:val="24"/>
    </w:rPr>
  </w:style>
  <w:style w:type="character" w:customStyle="1" w:styleId="SemEspaamentoChar">
    <w:name w:val="Sem Espaçamento Char"/>
    <w:basedOn w:val="Fontepargpadro"/>
    <w:link w:val="SemEspaamento"/>
    <w:uiPriority w:val="1"/>
    <w:locked/>
    <w:rsid w:val="001541F6"/>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Pages>
  <Words>2239</Words>
  <Characters>12681</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14891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8</cp:revision>
  <cp:lastPrinted>2016-12-07T17:33:00Z</cp:lastPrinted>
  <dcterms:created xsi:type="dcterms:W3CDTF">2016-09-19T13:23:00Z</dcterms:created>
  <dcterms:modified xsi:type="dcterms:W3CDTF">2016-12-07T17:35:00Z</dcterms:modified>
</cp:coreProperties>
</file>